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13BC8882" w:rsidR="004655B5" w:rsidRPr="00987934" w:rsidRDefault="00987934" w:rsidP="00987934">
            <w:pPr>
              <w:pStyle w:val="ListParagraph"/>
              <w:numPr>
                <w:ilvl w:val="1"/>
                <w:numId w:val="50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987934">
              <w:rPr>
                <w:rFonts w:ascii="Segoe UI" w:hAnsi="Segoe UI" w:cs="Segoe UI"/>
                <w:b/>
                <w:color w:val="333333"/>
                <w:lang w:val="sr-Cyrl-RS"/>
              </w:rPr>
              <w:t>Сервирка</w:t>
            </w:r>
          </w:p>
        </w:tc>
      </w:tr>
      <w:tr w:rsidR="008A352B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6B4965C8" w:rsidR="008A352B" w:rsidRPr="004D6AA3" w:rsidRDefault="008A352B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3D673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ТЕХНИЧКЕ И ДРУГЕ СЛИЧНЕ ПОСЛОВЕ</w:t>
            </w:r>
          </w:p>
        </w:tc>
      </w:tr>
      <w:tr w:rsidR="008A352B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3A5FB22F" w:rsidR="008A352B" w:rsidRPr="004D6AA3" w:rsidRDefault="00987934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98793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ресторани и кафетерија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D14B7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132AD55A" w:rsidR="008F3E6B" w:rsidRPr="00921B7B" w:rsidRDefault="00921B7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956" w:type="dxa"/>
            <w:gridSpan w:val="4"/>
            <w:noWrap/>
          </w:tcPr>
          <w:p w14:paraId="497058DB" w14:textId="005B590F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noWrap/>
          </w:tcPr>
          <w:p w14:paraId="760D95FC" w14:textId="0BD4DE28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73D4D7A0" w:rsidR="004655B5" w:rsidRPr="00987934" w:rsidRDefault="00C96B6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I</w:t>
            </w:r>
            <w:r w:rsidR="00987934">
              <w:rPr>
                <w:rFonts w:ascii="Segoe UI" w:hAnsi="Segoe UI" w:cs="Segoe UI"/>
                <w:sz w:val="20"/>
                <w:szCs w:val="20"/>
                <w:lang w:val="en-US"/>
              </w:rPr>
              <w:t>II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5EC7F39E" w14:textId="77777777" w:rsidR="00987934" w:rsidRPr="00987934" w:rsidRDefault="00987934" w:rsidP="0098793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8793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-припрема, сервира и послужује топле и хладне безалкохолне напитке; </w:t>
            </w:r>
          </w:p>
          <w:p w14:paraId="37D9CADE" w14:textId="77777777" w:rsidR="00987934" w:rsidRPr="00987934" w:rsidRDefault="00987934" w:rsidP="0098793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8793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-одржава хигијену посуђа, прибора и уређаја;</w:t>
            </w:r>
          </w:p>
          <w:p w14:paraId="394871A7" w14:textId="77777777" w:rsidR="00987934" w:rsidRPr="00987934" w:rsidRDefault="00987934" w:rsidP="0098793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8793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-преузима робу и води књиге задужења и раздужења робе;</w:t>
            </w:r>
          </w:p>
          <w:p w14:paraId="2B3CE6B1" w14:textId="77777777" w:rsidR="00987934" w:rsidRPr="00987934" w:rsidRDefault="00987934" w:rsidP="0098793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8793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-води евиденције о требовању и утрошку робе.</w:t>
            </w:r>
          </w:p>
          <w:p w14:paraId="5A6AD1AA" w14:textId="77777777" w:rsidR="00987934" w:rsidRPr="00987934" w:rsidRDefault="00987934" w:rsidP="0098793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8793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-распремање столова и другог инвентара;</w:t>
            </w:r>
          </w:p>
          <w:p w14:paraId="4EFA5DE5" w14:textId="77777777" w:rsidR="00987934" w:rsidRPr="00987934" w:rsidRDefault="00987934" w:rsidP="0098793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8793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-евидентирање издатих оброка;</w:t>
            </w:r>
          </w:p>
          <w:p w14:paraId="39569954" w14:textId="75F0ECAF" w:rsidR="004655B5" w:rsidRPr="00731284" w:rsidRDefault="00987934" w:rsidP="00987934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987934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-наплаћивање пружених услуга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C96B68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23C037B" w:rsidR="00C96B68" w:rsidRPr="00987934" w:rsidRDefault="00987934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Ресторан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5776C34B" w:rsidR="00C96B68" w:rsidRPr="002B7A50" w:rsidRDefault="00987934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80</w:t>
            </w:r>
          </w:p>
        </w:tc>
      </w:tr>
      <w:tr w:rsidR="00C96B6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C96B68" w:rsidRPr="00AA01E4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4312C440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Остале просторије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7B5BAB7B" w:rsidR="00C96B68" w:rsidRPr="00760943" w:rsidRDefault="00987934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10</w:t>
            </w:r>
          </w:p>
        </w:tc>
      </w:tr>
      <w:tr w:rsidR="00C96B6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C96B68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4BB610F9" w:rsidR="00C96B68" w:rsidRPr="00BD3E08" w:rsidRDefault="00987934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2A9647CB" w:rsidR="00C96B68" w:rsidRPr="00760943" w:rsidRDefault="00987934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10</w:t>
            </w:r>
          </w:p>
        </w:tc>
      </w:tr>
      <w:tr w:rsidR="00C96B6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C96B68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5DE1EBE5" w:rsidR="00C96B68" w:rsidRPr="009A1FEF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C96B6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C96B68" w:rsidRPr="00CD7686" w:rsidRDefault="00C96B68" w:rsidP="00C96B6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C96B6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C96B68" w:rsidRPr="00CD7686" w:rsidRDefault="00C96B68" w:rsidP="00C96B6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C96B6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C96B68" w:rsidRPr="00CD7686" w:rsidRDefault="00C96B68" w:rsidP="00C96B6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C96B6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C96B6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C96B6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C96B6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C96B6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C96B6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C96B6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C96B6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C96B68" w:rsidRPr="00DC274F" w:rsidRDefault="00C96B68" w:rsidP="00C96B6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C96B68" w:rsidRPr="00DC274F" w:rsidRDefault="00C96B68" w:rsidP="00C96B6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C96B68" w:rsidRPr="001929E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96B6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C96B68" w:rsidRPr="00DC274F" w:rsidRDefault="00C96B68" w:rsidP="00C96B6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C96B68" w:rsidRPr="00DC274F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C96B68" w:rsidRPr="001929E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96B68" w:rsidRPr="00CD7686" w14:paraId="2F324E4C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C156453" w14:textId="77777777" w:rsidR="00C96B68" w:rsidRPr="00DC274F" w:rsidRDefault="00C96B68" w:rsidP="00C96B6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BB6736F" w14:textId="374EA06F" w:rsidR="00C96B68" w:rsidRPr="00D14B78" w:rsidRDefault="00D14B7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Посуђе и прибор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1773468" w14:textId="605164A0" w:rsidR="00C96B68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25222D69" w14:textId="2D8E340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2B34CE64" w14:textId="436ECB9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3DEA37A" w14:textId="0C84E13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C96B68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C96B6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lastRenderedPageBreak/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C96B6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C96B68" w:rsidRPr="00CD7686" w:rsidRDefault="00C96B68" w:rsidP="00C96B6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C96B68" w:rsidRPr="00CD7686" w:rsidRDefault="00C96B68" w:rsidP="00C96B6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C96B68" w:rsidRPr="00CD7686" w:rsidRDefault="00C96B68" w:rsidP="00C96B6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C96B68" w:rsidRPr="00CD7686" w:rsidRDefault="00C96B68" w:rsidP="00C96B6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C96B68" w:rsidRPr="00CD7686" w:rsidRDefault="00C96B68" w:rsidP="00C96B6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C96B6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C96B6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50FEC2C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2675D43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24</w:t>
            </w:r>
          </w:p>
        </w:tc>
      </w:tr>
      <w:tr w:rsidR="00C96B6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C96B6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C96B6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C96B68" w:rsidRPr="0010672B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5B4774B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М</w:t>
            </w: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6ED41E22" w:rsidR="00C96B68" w:rsidRPr="003B4642" w:rsidRDefault="00C96B68" w:rsidP="00C96B6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3B2FF5F3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54</w:t>
            </w:r>
          </w:p>
        </w:tc>
      </w:tr>
      <w:tr w:rsidR="00C96B6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C96B68" w:rsidRPr="00CD7686" w:rsidRDefault="00C96B68" w:rsidP="00C96B6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96B6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C96B6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C96B68" w:rsidRPr="00CD7686" w:rsidRDefault="00C96B68" w:rsidP="00C96B6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C96B6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C96B6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C96B68" w:rsidRPr="00CD7686" w:rsidRDefault="00C96B68" w:rsidP="00C96B6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C96B6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C96B68" w:rsidRPr="007604D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C96B6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C96B68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C96B68" w:rsidRPr="00CD7686" w:rsidRDefault="00C96B68" w:rsidP="00C96B6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C96B6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C96B6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C96B6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C96B68" w:rsidRPr="00AA01E4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96B6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C96B68" w:rsidRPr="00CD7686" w:rsidRDefault="00C96B68" w:rsidP="00C96B6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C96B68" w:rsidRPr="003B4642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C96B6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C96B68" w:rsidRPr="00CD7686" w:rsidRDefault="00C96B68" w:rsidP="00C96B6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C96B6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C96B68" w:rsidRPr="00AA01E4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C96B68" w:rsidRPr="00AA01E4" w:rsidRDefault="00C96B68" w:rsidP="00C96B6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C96B6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C96B68" w:rsidRPr="00814125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034DB4AB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D2176E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9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lastRenderedPageBreak/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lastRenderedPageBreak/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9A1FEF" w:rsidRPr="00CD7686" w14:paraId="112C3FAC" w14:textId="77777777" w:rsidTr="00224D29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6A6A758B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9A1FEF" w:rsidRPr="00CD7686" w14:paraId="5F8FE939" w14:textId="77777777" w:rsidTr="00224D29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69936BB8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7986190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BE3A47D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3729F45A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2B7A50" w:rsidRPr="00CD7686" w14:paraId="0A83C79D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41E56BF2" w14:textId="77777777" w:rsidR="002B7A50" w:rsidRPr="00CD7686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196AF869" w14:textId="44DB10CD" w:rsidR="002B7A50" w:rsidRPr="00CD7686" w:rsidRDefault="002B7A50" w:rsidP="002B7A50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Заштитни прслук зимски</w:t>
            </w:r>
          </w:p>
        </w:tc>
        <w:tc>
          <w:tcPr>
            <w:tcW w:w="2177" w:type="dxa"/>
          </w:tcPr>
          <w:p w14:paraId="37C89149" w14:textId="23206C81" w:rsidR="002B7A50" w:rsidRPr="0018029A" w:rsidRDefault="002B7A50" w:rsidP="002B7A50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247A7FC1" w14:textId="2DEF5726" w:rsidR="002B7A50" w:rsidRPr="0018029A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2B7A50" w:rsidRPr="00CD7686" w14:paraId="68A38187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7C8D83DC" w14:textId="77777777" w:rsidR="002B7A50" w:rsidRPr="00CD7686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C08871B" w14:textId="655BC8DC" w:rsidR="002B7A50" w:rsidRPr="00CD7686" w:rsidRDefault="002B7A50" w:rsidP="002B7A50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Заштитно о</w:t>
            </w:r>
            <w:r w:rsidR="00987934">
              <w:rPr>
                <w:color w:val="231F20"/>
                <w:sz w:val="18"/>
                <w:szCs w:val="18"/>
                <w:lang w:val="ru-RU"/>
              </w:rPr>
              <w:t>д</w:t>
            </w:r>
            <w:r>
              <w:rPr>
                <w:color w:val="231F20"/>
                <w:sz w:val="18"/>
                <w:szCs w:val="18"/>
                <w:lang w:val="ru-RU"/>
              </w:rPr>
              <w:t>ело (комбинезон,блуза) летње</w:t>
            </w:r>
          </w:p>
        </w:tc>
        <w:tc>
          <w:tcPr>
            <w:tcW w:w="2177" w:type="dxa"/>
          </w:tcPr>
          <w:p w14:paraId="4E33FE22" w14:textId="5B1842BD" w:rsidR="002B7A50" w:rsidRPr="0018029A" w:rsidRDefault="002B7A50" w:rsidP="002B7A50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3BA94AB3" w14:textId="4CC52C31" w:rsidR="002B7A50" w:rsidRPr="0018029A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2B7A50" w:rsidRPr="00CD7686" w14:paraId="7B817AEB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3AD0357" w14:textId="77777777" w:rsidR="002B7A50" w:rsidRPr="00CD7686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7F65FEA3" w14:textId="433D4458" w:rsidR="002B7A50" w:rsidRPr="00CD7686" w:rsidRDefault="002B7A50" w:rsidP="002B7A50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Мајица летња бела</w:t>
            </w:r>
          </w:p>
        </w:tc>
        <w:tc>
          <w:tcPr>
            <w:tcW w:w="2177" w:type="dxa"/>
          </w:tcPr>
          <w:p w14:paraId="06E6B1D9" w14:textId="2073B711" w:rsidR="002B7A50" w:rsidRPr="0018029A" w:rsidRDefault="002B7A50" w:rsidP="002B7A50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5B418468" w14:textId="1242CB83" w:rsidR="002B7A50" w:rsidRPr="0018029A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2B7A50" w:rsidRPr="00CD7686" w14:paraId="45E78B4F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31559437" w14:textId="77777777" w:rsidR="002B7A50" w:rsidRPr="00CD7686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3B23CBC9" w14:textId="27862D3E" w:rsidR="002B7A50" w:rsidRPr="00CD7686" w:rsidRDefault="002B7A50" w:rsidP="002B7A50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Мајица зимска бела</w:t>
            </w:r>
          </w:p>
        </w:tc>
        <w:tc>
          <w:tcPr>
            <w:tcW w:w="2177" w:type="dxa"/>
          </w:tcPr>
          <w:p w14:paraId="674DB4A2" w14:textId="61827664" w:rsidR="002B7A50" w:rsidRPr="0018029A" w:rsidRDefault="002B7A50" w:rsidP="002B7A50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2B17AA28" w14:textId="6504D67B" w:rsidR="002B7A50" w:rsidRPr="0018029A" w:rsidRDefault="002B7A50" w:rsidP="002B7A50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2B7A50" w:rsidRPr="00CD7686" w14:paraId="7B1992EB" w14:textId="77777777" w:rsidTr="00224D29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654DF76A" w14:textId="77777777" w:rsidR="002B7A50" w:rsidRPr="0018029A" w:rsidRDefault="002B7A50" w:rsidP="002B7A50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lastRenderedPageBreak/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755ED1E7" w14:textId="77777777" w:rsidR="009A1FEF" w:rsidRPr="009A1FEF" w:rsidRDefault="009A1FEF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5766F8A7" w14:textId="7200B72D" w:rsidR="002B7A50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987934" w:rsidRPr="00987934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7.21.</w:t>
            </w:r>
            <w:r w:rsidR="00987934" w:rsidRPr="00987934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Сервирка</w:t>
            </w:r>
          </w:p>
          <w:p w14:paraId="25D55625" w14:textId="5433844A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11229E2B" w:rsidR="00C810EC" w:rsidRPr="002B2F4B" w:rsidRDefault="004655B5" w:rsidP="002B2F4B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825E46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75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D1C8C" w14:textId="77777777" w:rsidR="00127D14" w:rsidRDefault="00127D14" w:rsidP="00FB3900">
      <w:r>
        <w:separator/>
      </w:r>
    </w:p>
  </w:endnote>
  <w:endnote w:type="continuationSeparator" w:id="0">
    <w:p w14:paraId="7502FDC9" w14:textId="77777777" w:rsidR="00127D14" w:rsidRDefault="00127D14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7809B" w14:textId="77777777" w:rsidR="00127D14" w:rsidRDefault="00127D14" w:rsidP="00FB3900">
      <w:r>
        <w:separator/>
      </w:r>
    </w:p>
  </w:footnote>
  <w:footnote w:type="continuationSeparator" w:id="0">
    <w:p w14:paraId="3BCBEB49" w14:textId="77777777" w:rsidR="00127D14" w:rsidRDefault="00127D14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C129B"/>
    <w:multiLevelType w:val="multilevel"/>
    <w:tmpl w:val="DD825E5C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2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17B2"/>
    <w:multiLevelType w:val="multilevel"/>
    <w:tmpl w:val="57165534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5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6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9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5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7" w15:restartNumberingAfterBreak="0">
    <w:nsid w:val="29E86D6D"/>
    <w:multiLevelType w:val="multilevel"/>
    <w:tmpl w:val="6FD0FC74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8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9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5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8B0C1D"/>
    <w:multiLevelType w:val="multilevel"/>
    <w:tmpl w:val="A8AC3B92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7" w15:restartNumberingAfterBreak="0">
    <w:nsid w:val="61FB2FBC"/>
    <w:multiLevelType w:val="multilevel"/>
    <w:tmpl w:val="15081892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8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0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827E51"/>
    <w:multiLevelType w:val="multilevel"/>
    <w:tmpl w:val="56EC30CE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42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3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21156B3"/>
    <w:multiLevelType w:val="multilevel"/>
    <w:tmpl w:val="B59A65E6"/>
    <w:lvl w:ilvl="0">
      <w:start w:val="7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2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45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6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21"/>
  </w:num>
  <w:num w:numId="2" w16cid:durableId="842862941">
    <w:abstractNumId w:val="27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9"/>
  </w:num>
  <w:num w:numId="4" w16cid:durableId="1324046479">
    <w:abstractNumId w:val="20"/>
  </w:num>
  <w:num w:numId="5" w16cid:durableId="1400052567">
    <w:abstractNumId w:val="31"/>
  </w:num>
  <w:num w:numId="6" w16cid:durableId="463349650">
    <w:abstractNumId w:val="18"/>
  </w:num>
  <w:num w:numId="7" w16cid:durableId="1995601823">
    <w:abstractNumId w:val="42"/>
  </w:num>
  <w:num w:numId="8" w16cid:durableId="1107852821">
    <w:abstractNumId w:val="13"/>
  </w:num>
  <w:num w:numId="9" w16cid:durableId="1853449989">
    <w:abstractNumId w:val="23"/>
  </w:num>
  <w:num w:numId="10" w16cid:durableId="432287317">
    <w:abstractNumId w:val="16"/>
  </w:num>
  <w:num w:numId="11" w16cid:durableId="826481955">
    <w:abstractNumId w:val="47"/>
  </w:num>
  <w:num w:numId="12" w16cid:durableId="200173749">
    <w:abstractNumId w:val="30"/>
  </w:num>
  <w:num w:numId="13" w16cid:durableId="1414741603">
    <w:abstractNumId w:val="7"/>
  </w:num>
  <w:num w:numId="14" w16cid:durableId="1075585534">
    <w:abstractNumId w:val="29"/>
  </w:num>
  <w:num w:numId="15" w16cid:durableId="528184254">
    <w:abstractNumId w:val="3"/>
  </w:num>
  <w:num w:numId="16" w16cid:durableId="634525489">
    <w:abstractNumId w:val="40"/>
  </w:num>
  <w:num w:numId="17" w16cid:durableId="1775860644">
    <w:abstractNumId w:val="12"/>
  </w:num>
  <w:num w:numId="18" w16cid:durableId="702436518">
    <w:abstractNumId w:val="15"/>
  </w:num>
  <w:num w:numId="19" w16cid:durableId="1872110297">
    <w:abstractNumId w:val="27"/>
  </w:num>
  <w:num w:numId="20" w16cid:durableId="529296105">
    <w:abstractNumId w:val="28"/>
  </w:num>
  <w:num w:numId="21" w16cid:durableId="1917661917">
    <w:abstractNumId w:val="34"/>
  </w:num>
  <w:num w:numId="22" w16cid:durableId="2085835988">
    <w:abstractNumId w:val="8"/>
  </w:num>
  <w:num w:numId="23" w16cid:durableId="153300098">
    <w:abstractNumId w:val="25"/>
  </w:num>
  <w:num w:numId="24" w16cid:durableId="686490959">
    <w:abstractNumId w:val="35"/>
  </w:num>
  <w:num w:numId="25" w16cid:durableId="939876447">
    <w:abstractNumId w:val="38"/>
  </w:num>
  <w:num w:numId="26" w16cid:durableId="1581327596">
    <w:abstractNumId w:val="19"/>
  </w:num>
  <w:num w:numId="27" w16cid:durableId="763964453">
    <w:abstractNumId w:val="32"/>
  </w:num>
  <w:num w:numId="28" w16cid:durableId="691304198">
    <w:abstractNumId w:val="48"/>
  </w:num>
  <w:num w:numId="29" w16cid:durableId="842823702">
    <w:abstractNumId w:val="26"/>
  </w:num>
  <w:num w:numId="30" w16cid:durableId="2100515174">
    <w:abstractNumId w:val="45"/>
  </w:num>
  <w:num w:numId="31" w16cid:durableId="413746794">
    <w:abstractNumId w:val="6"/>
  </w:num>
  <w:num w:numId="32" w16cid:durableId="918097897">
    <w:abstractNumId w:val="9"/>
  </w:num>
  <w:num w:numId="33" w16cid:durableId="501048203">
    <w:abstractNumId w:val="2"/>
  </w:num>
  <w:num w:numId="34" w16cid:durableId="1075588309">
    <w:abstractNumId w:val="5"/>
  </w:num>
  <w:num w:numId="35" w16cid:durableId="1742558470">
    <w:abstractNumId w:val="11"/>
  </w:num>
  <w:num w:numId="36" w16cid:durableId="741178132">
    <w:abstractNumId w:val="33"/>
  </w:num>
  <w:num w:numId="37" w16cid:durableId="1558056050">
    <w:abstractNumId w:val="46"/>
  </w:num>
  <w:num w:numId="38" w16cid:durableId="1196697175">
    <w:abstractNumId w:val="10"/>
  </w:num>
  <w:num w:numId="39" w16cid:durableId="47152614">
    <w:abstractNumId w:val="43"/>
  </w:num>
  <w:num w:numId="40" w16cid:durableId="1445610652">
    <w:abstractNumId w:val="24"/>
  </w:num>
  <w:num w:numId="41" w16cid:durableId="1288585849">
    <w:abstractNumId w:val="22"/>
  </w:num>
  <w:num w:numId="42" w16cid:durableId="878666880">
    <w:abstractNumId w:val="14"/>
  </w:num>
  <w:num w:numId="43" w16cid:durableId="814613028">
    <w:abstractNumId w:val="1"/>
  </w:num>
  <w:num w:numId="44" w16cid:durableId="1489243484">
    <w:abstractNumId w:val="36"/>
  </w:num>
  <w:num w:numId="45" w16cid:durableId="1437672689">
    <w:abstractNumId w:val="17"/>
  </w:num>
  <w:num w:numId="46" w16cid:durableId="376509632">
    <w:abstractNumId w:val="4"/>
  </w:num>
  <w:num w:numId="47" w16cid:durableId="935789150">
    <w:abstractNumId w:val="0"/>
  </w:num>
  <w:num w:numId="48" w16cid:durableId="1625770655">
    <w:abstractNumId w:val="41"/>
  </w:num>
  <w:num w:numId="49" w16cid:durableId="177044565">
    <w:abstractNumId w:val="37"/>
  </w:num>
  <w:num w:numId="50" w16cid:durableId="139835786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20962"/>
    <w:rsid w:val="000440FB"/>
    <w:rsid w:val="000C6906"/>
    <w:rsid w:val="000E1057"/>
    <w:rsid w:val="0010672B"/>
    <w:rsid w:val="00127D14"/>
    <w:rsid w:val="00133C50"/>
    <w:rsid w:val="001929EA"/>
    <w:rsid w:val="001F05F7"/>
    <w:rsid w:val="00216355"/>
    <w:rsid w:val="00224DEB"/>
    <w:rsid w:val="00296BBD"/>
    <w:rsid w:val="002B124B"/>
    <w:rsid w:val="002B2F4B"/>
    <w:rsid w:val="002B7A50"/>
    <w:rsid w:val="002F5D75"/>
    <w:rsid w:val="00324303"/>
    <w:rsid w:val="00355532"/>
    <w:rsid w:val="00366232"/>
    <w:rsid w:val="00376923"/>
    <w:rsid w:val="003A28A7"/>
    <w:rsid w:val="003B4642"/>
    <w:rsid w:val="003D3BD3"/>
    <w:rsid w:val="003F18F5"/>
    <w:rsid w:val="004028B0"/>
    <w:rsid w:val="004655B5"/>
    <w:rsid w:val="00477138"/>
    <w:rsid w:val="004B03A1"/>
    <w:rsid w:val="004D6AA3"/>
    <w:rsid w:val="004E545E"/>
    <w:rsid w:val="005113E0"/>
    <w:rsid w:val="00562410"/>
    <w:rsid w:val="005901CB"/>
    <w:rsid w:val="005C40E9"/>
    <w:rsid w:val="005F5C09"/>
    <w:rsid w:val="005F614E"/>
    <w:rsid w:val="00644A96"/>
    <w:rsid w:val="006E4C23"/>
    <w:rsid w:val="00731284"/>
    <w:rsid w:val="007604D2"/>
    <w:rsid w:val="00760943"/>
    <w:rsid w:val="007644B2"/>
    <w:rsid w:val="0077086C"/>
    <w:rsid w:val="007828E2"/>
    <w:rsid w:val="0078752F"/>
    <w:rsid w:val="00790CD6"/>
    <w:rsid w:val="007B0B9C"/>
    <w:rsid w:val="007B0CBF"/>
    <w:rsid w:val="008026FB"/>
    <w:rsid w:val="00812C4F"/>
    <w:rsid w:val="00814125"/>
    <w:rsid w:val="00825E46"/>
    <w:rsid w:val="00830126"/>
    <w:rsid w:val="00874C04"/>
    <w:rsid w:val="008A352B"/>
    <w:rsid w:val="008F3E6B"/>
    <w:rsid w:val="008F5961"/>
    <w:rsid w:val="00921B7B"/>
    <w:rsid w:val="00963E32"/>
    <w:rsid w:val="00987934"/>
    <w:rsid w:val="009A1FEF"/>
    <w:rsid w:val="009B2187"/>
    <w:rsid w:val="009D065E"/>
    <w:rsid w:val="009F58BA"/>
    <w:rsid w:val="00AA01E4"/>
    <w:rsid w:val="00B238B5"/>
    <w:rsid w:val="00B25753"/>
    <w:rsid w:val="00B3000F"/>
    <w:rsid w:val="00B33D8D"/>
    <w:rsid w:val="00B4428D"/>
    <w:rsid w:val="00B70E72"/>
    <w:rsid w:val="00BD3E08"/>
    <w:rsid w:val="00BD777C"/>
    <w:rsid w:val="00C50B9D"/>
    <w:rsid w:val="00C810EC"/>
    <w:rsid w:val="00C96B28"/>
    <w:rsid w:val="00C96B68"/>
    <w:rsid w:val="00CD7686"/>
    <w:rsid w:val="00D14B78"/>
    <w:rsid w:val="00D2176E"/>
    <w:rsid w:val="00D22B9D"/>
    <w:rsid w:val="00D45EB9"/>
    <w:rsid w:val="00D61E07"/>
    <w:rsid w:val="00D654AD"/>
    <w:rsid w:val="00D75298"/>
    <w:rsid w:val="00DB2D43"/>
    <w:rsid w:val="00DC274F"/>
    <w:rsid w:val="00DC288C"/>
    <w:rsid w:val="00E16302"/>
    <w:rsid w:val="00E54AD5"/>
    <w:rsid w:val="00E5688A"/>
    <w:rsid w:val="00E92896"/>
    <w:rsid w:val="00F56045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1</Pages>
  <Words>1755</Words>
  <Characters>10005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50</cp:revision>
  <cp:lastPrinted>2024-12-15T21:25:00Z</cp:lastPrinted>
  <dcterms:created xsi:type="dcterms:W3CDTF">2024-11-14T06:14:00Z</dcterms:created>
  <dcterms:modified xsi:type="dcterms:W3CDTF">2024-12-15T21:25:00Z</dcterms:modified>
</cp:coreProperties>
</file>